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6" w:lineRule="auto"/>
      </w:pPr>
    </w:p>
    <w:p>
      <w:pPr>
        <w:tabs>
          <w:tab w:val="left" w:pos="3752"/>
          <w:tab w:val="left" w:pos="5974"/>
        </w:tabs>
        <w:jc w:val="distribute"/>
        <w:rPr>
          <w:rFonts w:hint="eastAsia" w:ascii="仿宋" w:hAnsi="仿宋" w:eastAsia="仿宋" w:cs="仿宋"/>
          <w:b/>
          <w:color w:val="FF0000"/>
          <w:spacing w:val="21"/>
          <w:position w:val="24"/>
          <w:sz w:val="71"/>
          <w:szCs w:val="71"/>
          <w:lang w:val="en-US" w:eastAsia="zh-CN"/>
        </w:rPr>
      </w:pPr>
      <w:r>
        <w:rPr>
          <w:rFonts w:hint="eastAsia" w:ascii="仿宋" w:hAnsi="仿宋" w:eastAsia="仿宋" w:cs="仿宋"/>
          <w:b/>
          <w:color w:val="FF0000"/>
          <w:spacing w:val="21"/>
          <w:position w:val="24"/>
          <w:sz w:val="71"/>
          <w:szCs w:val="71"/>
          <w:lang w:val="en-US" w:eastAsia="zh-CN"/>
        </w:rPr>
        <w:t>广东省认证认可协会</w:t>
      </w:r>
    </w:p>
    <w:p>
      <w:pPr>
        <w:tabs>
          <w:tab w:val="left" w:pos="3752"/>
          <w:tab w:val="left" w:pos="5974"/>
        </w:tabs>
        <w:jc w:val="distribute"/>
        <w:rPr>
          <w:rFonts w:hint="eastAsia" w:ascii="仿宋" w:hAnsi="仿宋" w:eastAsia="仿宋" w:cs="仿宋"/>
          <w:color w:val="FF0000"/>
          <w:sz w:val="71"/>
          <w:szCs w:val="71"/>
        </w:rPr>
      </w:pPr>
      <w:r>
        <w:rPr>
          <w:rFonts w:hint="eastAsia" w:ascii="仿宋" w:hAnsi="仿宋" w:eastAsia="仿宋" w:cs="仿宋"/>
          <w:b/>
          <w:color w:val="FF0000"/>
          <w:spacing w:val="21"/>
          <w:position w:val="24"/>
          <w:sz w:val="71"/>
          <w:szCs w:val="71"/>
        </w:rPr>
        <w:t>广东国研高新检测技术研究院</w:t>
      </w:r>
    </w:p>
    <w:p>
      <w:pPr>
        <w:spacing w:line="313" w:lineRule="auto"/>
        <w:rPr>
          <w:color w:val="FF0000"/>
        </w:rPr>
      </w:pPr>
    </w:p>
    <w:p>
      <w:pPr>
        <w:spacing w:line="80" w:lineRule="exact"/>
        <w:textAlignment w:val="center"/>
        <w:rPr>
          <w:color w:val="FF0000"/>
        </w:rPr>
      </w:pPr>
      <w:r>
        <w:rPr>
          <w:color w:val="FF0000"/>
        </w:rPr>
        <w:drawing>
          <wp:inline distT="0" distB="0" distL="0" distR="0">
            <wp:extent cx="6159500" cy="76200"/>
            <wp:effectExtent l="0" t="0" r="1270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6159500" cy="76200"/>
                    </a:xfrm>
                    <a:prstGeom prst="rect">
                      <a:avLst/>
                    </a:prstGeom>
                  </pic:spPr>
                </pic:pic>
              </a:graphicData>
            </a:graphic>
          </wp:inline>
        </w:drawing>
      </w:r>
    </w:p>
    <w:p>
      <w:pPr>
        <w:spacing w:line="330" w:lineRule="auto"/>
      </w:pPr>
    </w:p>
    <w:p>
      <w:pPr>
        <w:spacing w:line="246" w:lineRule="auto"/>
        <w:jc w:val="center"/>
        <w:rPr>
          <w:b/>
          <w:bCs/>
        </w:rPr>
      </w:pPr>
      <w:r>
        <w:rPr>
          <w:rFonts w:hint="eastAsia" w:ascii="宋体" w:hAnsi="宋体" w:eastAsia="宋体" w:cs="宋体"/>
          <w:b/>
          <w:bCs/>
          <w:i w:val="0"/>
          <w:iCs w:val="0"/>
          <w:caps w:val="0"/>
          <w:color w:val="333333"/>
          <w:spacing w:val="0"/>
          <w:sz w:val="40"/>
          <w:szCs w:val="40"/>
          <w:shd w:val="clear" w:fill="FFFFFF"/>
        </w:rPr>
        <w:t>关于举办食品抽样及检验技术培训班的通知</w:t>
      </w:r>
    </w:p>
    <w:p>
      <w:pPr>
        <w:spacing w:before="140" w:line="222" w:lineRule="auto"/>
        <w:ind w:firstLine="684"/>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全省各相关检验检测机构：</w:t>
      </w:r>
    </w:p>
    <w:p>
      <w:pPr>
        <w:spacing w:before="140" w:line="222" w:lineRule="auto"/>
        <w:ind w:firstLine="684"/>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为满足部分会员单位对食品检验人员技术培训的需求，规范抽样标准程序，熟练掌握检测技能，以满足法律法规的最新要求，我院联合广东省认证认可协会在线举办“食品抽样及检验技术培训班”。现将有关事项通知如下:</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一、培训对象</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食品检验人员、采抽样与样品制备人员及相关管理人员。</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二、培训内容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1.食品抽样的规范要求；</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2.食品抽样全流程的技术要点；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3.食品检验相关的法律法规；</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4.检验检测过程的质量控制；</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5.检验检测报告的风险点及其控制。</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三、培训时间及形式</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1.培训时间：4月15日上午9:00开课，为期一天。</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2.培训将采用平台在线直播形式自愿报名参加，学员可通过PC端或移动端（PAD及手机）下载登录“腾讯会议”软件。</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登录房间ID及密码将于开课前以短信发送至学员手机。</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四、考试安排</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4月16日上午9：00开始分批进行，学员需在线完成考试。（具体安排见微信群通知）</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五、培训收费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培训费800元/人，含考试及证书费。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六、报名方式</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fldChar w:fldCharType="begin"/>
      </w:r>
      <w:r>
        <w:rPr>
          <w:rFonts w:hint="eastAsia" w:ascii="仿宋" w:hAnsi="仿宋" w:eastAsia="仿宋" w:cs="仿宋"/>
          <w:b w:val="0"/>
          <w:bCs w:val="0"/>
          <w:spacing w:val="-6"/>
          <w:sz w:val="28"/>
          <w:szCs w:val="28"/>
        </w:rPr>
        <w:instrText xml:space="preserve"> HYPERLINK "mailto:请各机构于4月12日前通过下载报名表（见附件栏）以Excel格式发送至邮箱411085520@qq.com" </w:instrText>
      </w:r>
      <w:r>
        <w:rPr>
          <w:rFonts w:hint="eastAsia" w:ascii="仿宋" w:hAnsi="仿宋" w:eastAsia="仿宋" w:cs="仿宋"/>
          <w:b w:val="0"/>
          <w:bCs w:val="0"/>
          <w:spacing w:val="-6"/>
          <w:sz w:val="28"/>
          <w:szCs w:val="28"/>
        </w:rPr>
        <w:fldChar w:fldCharType="separate"/>
      </w:r>
      <w:r>
        <w:rPr>
          <w:rStyle w:val="16"/>
          <w:rFonts w:hint="eastAsia" w:ascii="仿宋" w:hAnsi="仿宋" w:eastAsia="仿宋" w:cs="仿宋"/>
          <w:b w:val="0"/>
          <w:bCs w:val="0"/>
          <w:spacing w:val="-6"/>
          <w:sz w:val="28"/>
          <w:szCs w:val="28"/>
        </w:rPr>
        <w:t>请各机构于4月12日前</w:t>
      </w:r>
      <w:r>
        <w:rPr>
          <w:rStyle w:val="16"/>
          <w:rFonts w:hint="eastAsia" w:ascii="仿宋" w:hAnsi="仿宋" w:eastAsia="仿宋" w:cs="仿宋"/>
          <w:b w:val="0"/>
          <w:bCs w:val="0"/>
          <w:spacing w:val="-6"/>
          <w:sz w:val="28"/>
          <w:szCs w:val="28"/>
          <w:lang w:val="en-US" w:eastAsia="zh-CN"/>
        </w:rPr>
        <w:t>将</w:t>
      </w:r>
      <w:r>
        <w:rPr>
          <w:rStyle w:val="16"/>
          <w:rFonts w:hint="eastAsia" w:ascii="仿宋" w:hAnsi="仿宋" w:eastAsia="仿宋" w:cs="仿宋"/>
          <w:b w:val="0"/>
          <w:bCs w:val="0"/>
          <w:spacing w:val="-6"/>
          <w:sz w:val="28"/>
          <w:szCs w:val="28"/>
        </w:rPr>
        <w:t>报</w:t>
      </w:r>
      <w:r>
        <w:rPr>
          <w:rStyle w:val="16"/>
          <w:rFonts w:hint="eastAsia" w:ascii="仿宋" w:hAnsi="仿宋" w:eastAsia="仿宋" w:cs="仿宋"/>
          <w:b w:val="0"/>
          <w:bCs w:val="0"/>
          <w:spacing w:val="-6"/>
          <w:sz w:val="28"/>
          <w:szCs w:val="28"/>
          <w:lang w:val="en-US" w:eastAsia="zh-CN"/>
        </w:rPr>
        <w:t>名回执</w:t>
      </w:r>
      <w:r>
        <w:rPr>
          <w:rStyle w:val="16"/>
          <w:rFonts w:hint="eastAsia" w:ascii="仿宋" w:hAnsi="仿宋" w:eastAsia="仿宋" w:cs="仿宋"/>
          <w:b w:val="0"/>
          <w:bCs w:val="0"/>
          <w:spacing w:val="-6"/>
          <w:sz w:val="28"/>
          <w:szCs w:val="28"/>
        </w:rPr>
        <w:t>发送至邮箱411085520@qq.com</w:t>
      </w:r>
      <w:r>
        <w:rPr>
          <w:rFonts w:hint="eastAsia" w:ascii="仿宋" w:hAnsi="仿宋" w:eastAsia="仿宋" w:cs="仿宋"/>
          <w:b w:val="0"/>
          <w:bCs w:val="0"/>
          <w:spacing w:val="-6"/>
          <w:sz w:val="28"/>
          <w:szCs w:val="28"/>
        </w:rPr>
        <w:fldChar w:fldCharType="end"/>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七、其他事项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1、参培学员报名后请邮寄1寸免冠彩照（每人2张，照片背面标注姓名，字体工整）。</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2、培训考核合格的学员由广东省认证认可协会颁发《检验检测机构人员培训证》。</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3、参培学员报名成功后需查收邮件加入微信群以获取更多培训考试信息。</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4、培训费请于4月12日前汇款至我院，务必注明汇款单位。</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开户名称：广东国研高新检测技术研究院（有限合伙）</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开户银行：中国建设银行股份有限公司东莞松山湖支行</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帐号：44050177005300001448​</w:t>
      </w:r>
    </w:p>
    <w:p>
      <w:pPr>
        <w:numPr>
          <w:ilvl w:val="0"/>
          <w:numId w:val="0"/>
        </w:numPr>
        <w:spacing w:before="134" w:line="221" w:lineRule="auto"/>
        <w:ind w:firstLine="608" w:firstLineChars="200"/>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附言</w:t>
      </w:r>
      <w:r>
        <w:rPr>
          <w:rFonts w:hint="eastAsia" w:ascii="仿宋" w:hAnsi="仿宋" w:eastAsia="仿宋" w:cs="仿宋"/>
          <w:b w:val="0"/>
          <w:bCs w:val="0"/>
          <w:spacing w:val="12"/>
          <w:sz w:val="28"/>
          <w:szCs w:val="28"/>
          <w:lang w:eastAsia="zh-CN"/>
        </w:rPr>
        <w:t>：</w:t>
      </w:r>
      <w:r>
        <w:rPr>
          <w:rFonts w:hint="eastAsia" w:ascii="仿宋" w:hAnsi="仿宋" w:eastAsia="仿宋" w:cs="仿宋"/>
          <w:b/>
          <w:bCs/>
          <w:spacing w:val="12"/>
          <w:sz w:val="28"/>
          <w:szCs w:val="28"/>
          <w:lang w:val="en-US" w:eastAsia="zh-CN"/>
        </w:rPr>
        <w:t>食品抽样技术</w:t>
      </w:r>
      <w:r>
        <w:rPr>
          <w:rFonts w:hint="eastAsia" w:ascii="仿宋" w:hAnsi="仿宋" w:eastAsia="仿宋" w:cs="仿宋"/>
          <w:b/>
          <w:bCs/>
          <w:spacing w:val="12"/>
          <w:sz w:val="28"/>
          <w:szCs w:val="28"/>
        </w:rPr>
        <w:t>培训+所属公司</w:t>
      </w:r>
    </w:p>
    <w:p>
      <w:pPr>
        <w:numPr>
          <w:ilvl w:val="0"/>
          <w:numId w:val="0"/>
        </w:numPr>
        <w:spacing w:before="134" w:line="221" w:lineRule="auto"/>
        <w:ind w:firstLine="608"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12"/>
          <w:sz w:val="28"/>
          <w:szCs w:val="28"/>
        </w:rPr>
        <w:t>* 附言必须填写，否则报名无法识别</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5、联系人：刘小姐13450678696</w:t>
      </w:r>
      <w:bookmarkStart w:id="0" w:name="_GoBack"/>
      <w:bookmarkEnd w:id="0"/>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地址：东莞市大岭山镇鸡翅岭村委会5楼</w:t>
      </w:r>
    </w:p>
    <w:p>
      <w:pPr>
        <w:pStyle w:val="23"/>
        <w:numPr>
          <w:ilvl w:val="0"/>
          <w:numId w:val="0"/>
        </w:numPr>
        <w:spacing w:after="240" w:afterLines="100" w:line="276" w:lineRule="auto"/>
        <w:rPr>
          <w:rFonts w:hint="eastAsia" w:ascii="仿宋" w:hAnsi="仿宋" w:eastAsia="仿宋" w:cs="仿宋"/>
          <w:b w:val="0"/>
          <w:bCs w:val="0"/>
          <w:color w:val="000000"/>
          <w:kern w:val="2"/>
          <w:sz w:val="28"/>
          <w:szCs w:val="28"/>
          <w:u w:color="000000"/>
          <w:lang w:val="en-US" w:eastAsia="zh-CN" w:bidi="ar-SA"/>
        </w:rPr>
      </w:pPr>
      <w:r>
        <w:rPr>
          <w:rFonts w:hint="eastAsia" w:ascii="仿宋" w:hAnsi="仿宋" w:eastAsia="仿宋" w:cs="仿宋"/>
          <w:b w:val="0"/>
          <w:bCs w:val="0"/>
          <w:color w:val="auto"/>
          <w:spacing w:val="12"/>
          <w:kern w:val="0"/>
          <w:sz w:val="28"/>
          <w:szCs w:val="28"/>
          <w:lang w:val="en-US" w:eastAsia="zh-CN" w:bidi="ar-SA"/>
        </w:rPr>
        <w:drawing>
          <wp:anchor distT="0" distB="0" distL="114935" distR="114935" simplePos="0" relativeHeight="251659264" behindDoc="0" locked="0" layoutInCell="1" allowOverlap="1">
            <wp:simplePos x="0" y="0"/>
            <wp:positionH relativeFrom="column">
              <wp:posOffset>3412490</wp:posOffset>
            </wp:positionH>
            <wp:positionV relativeFrom="paragraph">
              <wp:posOffset>20955</wp:posOffset>
            </wp:positionV>
            <wp:extent cx="1554480" cy="1558925"/>
            <wp:effectExtent l="0" t="0" r="0" b="10795"/>
            <wp:wrapNone/>
            <wp:docPr id="2" name="图片 2" descr="电子章（国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章（国研）"/>
                    <pic:cNvPicPr>
                      <a:picLocks noChangeAspect="1"/>
                    </pic:cNvPicPr>
                  </pic:nvPicPr>
                  <pic:blipFill>
                    <a:blip r:embed="rId6"/>
                    <a:stretch>
                      <a:fillRect/>
                    </a:stretch>
                  </pic:blipFill>
                  <pic:spPr>
                    <a:xfrm>
                      <a:off x="0" y="0"/>
                      <a:ext cx="1554480" cy="1558925"/>
                    </a:xfrm>
                    <a:prstGeom prst="rect">
                      <a:avLst/>
                    </a:prstGeom>
                  </pic:spPr>
                </pic:pic>
              </a:graphicData>
            </a:graphic>
          </wp:anchor>
        </w:drawing>
      </w:r>
    </w:p>
    <w:p>
      <w:pPr>
        <w:pStyle w:val="23"/>
        <w:spacing w:after="240" w:afterLines="100" w:line="276" w:lineRule="auto"/>
        <w:jc w:val="both"/>
        <w:rPr>
          <w:rFonts w:hint="eastAsia" w:ascii="仿宋" w:hAnsi="仿宋" w:eastAsia="仿宋" w:cs="仿宋"/>
          <w:b w:val="0"/>
          <w:bCs w:val="0"/>
          <w:color w:val="auto"/>
          <w:spacing w:val="12"/>
          <w:kern w:val="0"/>
          <w:sz w:val="28"/>
          <w:szCs w:val="28"/>
          <w:lang w:val="en-US" w:eastAsia="zh-CN" w:bidi="ar-SA"/>
        </w:rPr>
      </w:pPr>
    </w:p>
    <w:p>
      <w:pPr>
        <w:pStyle w:val="23"/>
        <w:spacing w:after="240" w:afterLines="100" w:line="276" w:lineRule="auto"/>
        <w:ind w:left="1134"/>
        <w:jc w:val="right"/>
        <w:rPr>
          <w:rFonts w:hint="eastAsia" w:ascii="仿宋" w:hAnsi="仿宋" w:eastAsia="仿宋" w:cs="仿宋"/>
          <w:b w:val="0"/>
          <w:bCs w:val="0"/>
          <w:color w:val="auto"/>
          <w:spacing w:val="12"/>
          <w:kern w:val="0"/>
          <w:sz w:val="28"/>
          <w:szCs w:val="28"/>
          <w:lang w:val="en-US" w:eastAsia="zh-CN" w:bidi="ar-SA"/>
        </w:rPr>
      </w:pPr>
      <w:r>
        <w:rPr>
          <w:rFonts w:hint="eastAsia" w:ascii="仿宋" w:hAnsi="仿宋" w:eastAsia="仿宋" w:cs="仿宋"/>
          <w:b w:val="0"/>
          <w:bCs w:val="0"/>
          <w:color w:val="auto"/>
          <w:spacing w:val="12"/>
          <w:kern w:val="0"/>
          <w:sz w:val="28"/>
          <w:szCs w:val="28"/>
          <w:lang w:val="en-US" w:eastAsia="zh-CN" w:bidi="ar-SA"/>
        </w:rPr>
        <w:t>广东国研高新检测技术研究院（有限合伙）</w:t>
      </w:r>
    </w:p>
    <w:p>
      <w:pPr>
        <w:pStyle w:val="3"/>
        <w:jc w:val="right"/>
        <w:rPr>
          <w:rFonts w:hint="eastAsia" w:ascii="仿宋" w:hAnsi="仿宋" w:eastAsia="仿宋" w:cs="仿宋"/>
          <w:b w:val="0"/>
          <w:bCs w:val="0"/>
          <w:color w:val="auto"/>
          <w:spacing w:val="12"/>
          <w:kern w:val="0"/>
          <w:sz w:val="28"/>
          <w:szCs w:val="28"/>
          <w:lang w:val="en-US" w:eastAsia="zh-CN" w:bidi="ar-SA"/>
        </w:rPr>
        <w:sectPr>
          <w:pgSz w:w="11910" w:h="16840"/>
          <w:pgMar w:top="1440" w:right="1080" w:bottom="1440" w:left="1080" w:header="720" w:footer="720" w:gutter="0"/>
          <w:cols w:space="720" w:num="1"/>
        </w:sectPr>
      </w:pPr>
      <w:r>
        <w:rPr>
          <w:rFonts w:hint="eastAsia" w:ascii="仿宋" w:hAnsi="仿宋" w:eastAsia="仿宋" w:cs="仿宋"/>
          <w:b w:val="0"/>
          <w:bCs w:val="0"/>
          <w:color w:val="auto"/>
          <w:spacing w:val="12"/>
          <w:kern w:val="0"/>
          <w:sz w:val="28"/>
          <w:szCs w:val="28"/>
          <w:lang w:val="en-US" w:eastAsia="zh-CN" w:bidi="ar-SA"/>
        </w:rPr>
        <w:t xml:space="preserve">               2023年3月30日</w:t>
      </w:r>
    </w:p>
    <w:p>
      <w:pPr>
        <w:pStyle w:val="11"/>
        <w:shd w:val="clear" w:color="auto" w:fill="FFFFFF"/>
        <w:spacing w:before="0" w:beforeAutospacing="0" w:after="0" w:afterAutospacing="0" w:line="520" w:lineRule="exact"/>
        <w:ind w:right="570" w:firstLine="280" w:firstLineChars="1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附件1</w:t>
      </w:r>
    </w:p>
    <w:p>
      <w:pPr>
        <w:jc w:val="center"/>
        <w:rPr>
          <w:rFonts w:hint="eastAsia" w:ascii="仿宋" w:hAnsi="仿宋" w:eastAsia="仿宋" w:cs="仿宋"/>
          <w:b/>
          <w:bCs/>
          <w:sz w:val="44"/>
          <w:szCs w:val="44"/>
        </w:rPr>
      </w:pPr>
      <w:r>
        <w:rPr>
          <w:rFonts w:hint="eastAsia" w:ascii="仿宋" w:hAnsi="仿宋" w:eastAsia="仿宋" w:cs="仿宋"/>
          <w:b/>
          <w:bCs/>
          <w:sz w:val="44"/>
          <w:szCs w:val="44"/>
        </w:rPr>
        <w:t>培训回执</w:t>
      </w:r>
    </w:p>
    <w:p>
      <w:pPr>
        <w:jc w:val="center"/>
        <w:rPr>
          <w:rFonts w:hint="eastAsia" w:ascii="仿宋" w:hAnsi="仿宋" w:eastAsia="仿宋" w:cs="仿宋"/>
          <w:b/>
          <w:bCs/>
          <w:sz w:val="44"/>
          <w:szCs w:val="44"/>
        </w:rPr>
      </w:pPr>
    </w:p>
    <w:tbl>
      <w:tblPr>
        <w:tblStyle w:val="14"/>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2"/>
        <w:gridCol w:w="1454"/>
        <w:gridCol w:w="1599"/>
        <w:gridCol w:w="2125"/>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序号</w:t>
            </w:r>
          </w:p>
        </w:tc>
        <w:tc>
          <w:tcPr>
            <w:tcW w:w="1213"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姓名</w:t>
            </w:r>
          </w:p>
        </w:tc>
        <w:tc>
          <w:tcPr>
            <w:tcW w:w="1455"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性别</w:t>
            </w:r>
          </w:p>
        </w:tc>
        <w:tc>
          <w:tcPr>
            <w:tcW w:w="1600" w:type="dxa"/>
          </w:tcPr>
          <w:p>
            <w:pPr>
              <w:widowControl w:val="0"/>
              <w:jc w:val="center"/>
              <w:rPr>
                <w:rFonts w:hint="eastAsia" w:ascii="仿宋" w:hAnsi="仿宋" w:eastAsia="仿宋" w:cs="仿宋"/>
                <w:spacing w:val="13"/>
                <w:sz w:val="28"/>
                <w:szCs w:val="28"/>
                <w:lang w:val="en-US" w:eastAsia="zh-CN"/>
              </w:rPr>
            </w:pPr>
            <w:r>
              <w:rPr>
                <w:rFonts w:hint="eastAsia" w:ascii="仿宋" w:hAnsi="仿宋" w:eastAsia="仿宋" w:cs="仿宋"/>
                <w:spacing w:val="13"/>
                <w:sz w:val="28"/>
                <w:szCs w:val="28"/>
                <w:lang w:val="en-US" w:eastAsia="zh-CN"/>
              </w:rPr>
              <w:t>学历</w:t>
            </w:r>
          </w:p>
        </w:tc>
        <w:tc>
          <w:tcPr>
            <w:tcW w:w="212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联系电话</w:t>
            </w:r>
          </w:p>
        </w:tc>
        <w:tc>
          <w:tcPr>
            <w:tcW w:w="2814"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1</w:t>
            </w:r>
          </w:p>
        </w:tc>
        <w:tc>
          <w:tcPr>
            <w:tcW w:w="1213" w:type="dxa"/>
            <w:vAlign w:val="center"/>
          </w:tcPr>
          <w:p>
            <w:pPr>
              <w:widowControl w:val="0"/>
              <w:jc w:val="both"/>
              <w:rPr>
                <w:rFonts w:hint="eastAsia" w:ascii="仿宋" w:hAnsi="仿宋" w:eastAsia="仿宋" w:cs="仿宋"/>
                <w:spacing w:val="13"/>
                <w:sz w:val="28"/>
                <w:szCs w:val="28"/>
              </w:rPr>
            </w:pPr>
          </w:p>
        </w:tc>
        <w:tc>
          <w:tcPr>
            <w:tcW w:w="1455" w:type="dxa"/>
            <w:vAlign w:val="center"/>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2</w:t>
            </w:r>
          </w:p>
        </w:tc>
        <w:tc>
          <w:tcPr>
            <w:tcW w:w="1213" w:type="dxa"/>
            <w:vAlign w:val="center"/>
          </w:tcPr>
          <w:p>
            <w:pPr>
              <w:widowControl w:val="0"/>
              <w:jc w:val="both"/>
              <w:rPr>
                <w:rFonts w:hint="eastAsia" w:ascii="仿宋" w:hAnsi="仿宋" w:eastAsia="仿宋" w:cs="仿宋"/>
                <w:spacing w:val="13"/>
                <w:sz w:val="28"/>
                <w:szCs w:val="28"/>
              </w:rPr>
            </w:pPr>
          </w:p>
        </w:tc>
        <w:tc>
          <w:tcPr>
            <w:tcW w:w="1455" w:type="dxa"/>
            <w:vAlign w:val="center"/>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3</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4</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5</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6</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5" w:type="dxa"/>
            <w:gridSpan w:val="3"/>
            <w:vMerge w:val="restart"/>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开票信息</w:t>
            </w:r>
          </w:p>
          <w:p>
            <w:pPr>
              <w:widowControl w:val="0"/>
              <w:jc w:val="center"/>
              <w:rPr>
                <w:rFonts w:hint="eastAsia" w:ascii="仿宋" w:hAnsi="仿宋" w:eastAsia="仿宋" w:cs="仿宋"/>
                <w:sz w:val="28"/>
                <w:szCs w:val="28"/>
              </w:rPr>
            </w:pPr>
            <w:r>
              <w:rPr>
                <w:rFonts w:hint="eastAsia" w:ascii="仿宋" w:hAnsi="仿宋" w:eastAsia="仿宋" w:cs="仿宋"/>
                <w:spacing w:val="13"/>
                <w:sz w:val="28"/>
                <w:szCs w:val="28"/>
              </w:rPr>
              <w:t>（普票）</w:t>
            </w:r>
          </w:p>
        </w:tc>
        <w:tc>
          <w:tcPr>
            <w:tcW w:w="3727" w:type="dxa"/>
            <w:gridSpan w:val="2"/>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单位名称</w:t>
            </w:r>
          </w:p>
        </w:tc>
        <w:tc>
          <w:tcPr>
            <w:tcW w:w="2814" w:type="dxa"/>
            <w:vAlign w:val="center"/>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505" w:type="dxa"/>
            <w:gridSpan w:val="3"/>
            <w:vMerge w:val="continue"/>
          </w:tcPr>
          <w:p>
            <w:pPr>
              <w:widowControl w:val="0"/>
              <w:jc w:val="center"/>
              <w:rPr>
                <w:rFonts w:hint="eastAsia" w:ascii="仿宋" w:hAnsi="仿宋" w:eastAsia="仿宋" w:cs="仿宋"/>
                <w:sz w:val="28"/>
                <w:szCs w:val="28"/>
              </w:rPr>
            </w:pP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统一社会信用代码</w:t>
            </w: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505" w:type="dxa"/>
            <w:gridSpan w:val="3"/>
            <w:vMerge w:val="restart"/>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快递信息</w:t>
            </w: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收件地址</w:t>
            </w:r>
          </w:p>
        </w:tc>
        <w:tc>
          <w:tcPr>
            <w:tcW w:w="2814" w:type="dxa"/>
            <w:vAlign w:val="center"/>
          </w:tcPr>
          <w:p>
            <w:pPr>
              <w:widowControl w:val="0"/>
              <w:spacing w:line="360" w:lineRule="auto"/>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505" w:type="dxa"/>
            <w:gridSpan w:val="3"/>
            <w:vMerge w:val="continue"/>
          </w:tcPr>
          <w:p>
            <w:pPr>
              <w:widowControl w:val="0"/>
              <w:jc w:val="center"/>
              <w:rPr>
                <w:rFonts w:hint="eastAsia" w:ascii="仿宋" w:hAnsi="仿宋" w:eastAsia="仿宋" w:cs="仿宋"/>
                <w:sz w:val="28"/>
                <w:szCs w:val="28"/>
              </w:rPr>
            </w:pP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收件人及电话</w:t>
            </w:r>
          </w:p>
        </w:tc>
        <w:tc>
          <w:tcPr>
            <w:tcW w:w="2814" w:type="dxa"/>
          </w:tcPr>
          <w:p>
            <w:pPr>
              <w:widowControl w:val="0"/>
              <w:spacing w:line="360" w:lineRule="auto"/>
              <w:jc w:val="center"/>
              <w:rPr>
                <w:rFonts w:hint="eastAsia" w:ascii="仿宋" w:hAnsi="仿宋" w:eastAsia="仿宋" w:cs="仿宋"/>
                <w:spacing w:val="13"/>
                <w:sz w:val="28"/>
                <w:szCs w:val="28"/>
              </w:rPr>
            </w:pPr>
          </w:p>
        </w:tc>
      </w:tr>
    </w:tbl>
    <w:p>
      <w:pPr>
        <w:ind w:left="278" w:leftChars="139" w:firstLine="0" w:firstLineChars="0"/>
        <w:rPr>
          <w:rFonts w:hint="eastAsia" w:ascii="仿宋" w:hAnsi="仿宋" w:eastAsia="仿宋" w:cs="仿宋"/>
          <w:sz w:val="28"/>
          <w:szCs w:val="28"/>
        </w:rPr>
      </w:pPr>
      <w:r>
        <w:rPr>
          <w:rFonts w:hint="eastAsia" w:ascii="仿宋" w:hAnsi="仿宋" w:eastAsia="仿宋" w:cs="仿宋"/>
          <w:spacing w:val="13"/>
          <w:sz w:val="28"/>
          <w:szCs w:val="28"/>
        </w:rPr>
        <w:t>注：请于培训班开课前三个工作日将“培训回执”发送到电子邮箱：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"mailto:411085520@qq.com" </w:instrText>
      </w:r>
      <w:r>
        <w:rPr>
          <w:rFonts w:hint="eastAsia" w:ascii="仿宋" w:hAnsi="仿宋" w:eastAsia="仿宋" w:cs="仿宋"/>
          <w:sz w:val="28"/>
          <w:szCs w:val="28"/>
        </w:rPr>
        <w:fldChar w:fldCharType="separate"/>
      </w:r>
      <w:r>
        <w:rPr>
          <w:rFonts w:hint="eastAsia" w:ascii="仿宋" w:hAnsi="仿宋" w:eastAsia="仿宋" w:cs="仿宋"/>
          <w:spacing w:val="13"/>
          <w:sz w:val="28"/>
          <w:szCs w:val="28"/>
        </w:rPr>
        <w:t>411085520@qq.com</w:t>
      </w:r>
      <w:r>
        <w:rPr>
          <w:rFonts w:hint="eastAsia" w:ascii="仿宋" w:hAnsi="仿宋" w:eastAsia="仿宋" w:cs="仿宋"/>
          <w:spacing w:val="13"/>
          <w:sz w:val="28"/>
          <w:szCs w:val="28"/>
        </w:rPr>
        <w:fldChar w:fldCharType="end"/>
      </w:r>
    </w:p>
    <w:p>
      <w:pPr>
        <w:ind w:firstLine="306" w:firstLineChars="100"/>
        <w:rPr>
          <w:rFonts w:hint="eastAsia" w:ascii="仿宋" w:hAnsi="仿宋" w:eastAsia="仿宋" w:cs="仿宋"/>
          <w:spacing w:val="13"/>
          <w:sz w:val="28"/>
          <w:szCs w:val="28"/>
          <w:lang w:val="en-US" w:eastAsia="zh-CN"/>
        </w:rPr>
      </w:pPr>
      <w:r>
        <w:rPr>
          <w:rFonts w:hint="eastAsia" w:ascii="仿宋" w:hAnsi="仿宋" w:eastAsia="仿宋" w:cs="仿宋"/>
          <w:spacing w:val="13"/>
          <w:sz w:val="28"/>
          <w:szCs w:val="28"/>
        </w:rPr>
        <w:t>联系人：刘</w:t>
      </w:r>
      <w:r>
        <w:rPr>
          <w:rFonts w:hint="eastAsia" w:ascii="仿宋" w:hAnsi="仿宋" w:eastAsia="仿宋" w:cs="仿宋"/>
          <w:spacing w:val="13"/>
          <w:sz w:val="28"/>
          <w:szCs w:val="28"/>
          <w:lang w:val="en-US" w:eastAsia="zh-CN"/>
        </w:rPr>
        <w:t>小姐</w:t>
      </w:r>
    </w:p>
    <w:p>
      <w:pPr>
        <w:ind w:firstLine="306" w:firstLineChars="100"/>
        <w:rPr>
          <w:rFonts w:hint="eastAsia" w:ascii="仿宋" w:hAnsi="仿宋" w:eastAsia="仿宋" w:cs="仿宋"/>
          <w:spacing w:val="13"/>
          <w:sz w:val="28"/>
          <w:szCs w:val="28"/>
        </w:rPr>
      </w:pPr>
      <w:r>
        <w:rPr>
          <w:rFonts w:hint="eastAsia" w:ascii="仿宋" w:hAnsi="仿宋" w:eastAsia="仿宋" w:cs="仿宋"/>
          <w:spacing w:val="13"/>
          <w:sz w:val="28"/>
          <w:szCs w:val="28"/>
        </w:rPr>
        <w:t>联系电话：</w:t>
      </w:r>
      <w:r>
        <w:rPr>
          <w:rFonts w:hint="eastAsia" w:ascii="仿宋" w:hAnsi="仿宋" w:eastAsia="仿宋" w:cs="仿宋"/>
          <w:b w:val="0"/>
          <w:color w:val="auto"/>
          <w:spacing w:val="5"/>
          <w:sz w:val="28"/>
          <w:szCs w:val="28"/>
          <w:lang w:val="en-US" w:eastAsia="zh-CN" w:bidi="ar-SA"/>
        </w:rPr>
        <w:t>13450678696</w:t>
      </w:r>
    </w:p>
    <w:p>
      <w:pPr>
        <w:rPr>
          <w:rFonts w:hint="eastAsia" w:ascii="仿宋" w:hAnsi="仿宋" w:eastAsia="仿宋" w:cs="仿宋"/>
          <w:spacing w:val="13"/>
          <w:sz w:val="28"/>
          <w:szCs w:val="28"/>
        </w:rPr>
      </w:pPr>
    </w:p>
    <w:p>
      <w:pPr>
        <w:ind w:firstLine="4896" w:firstLineChars="1600"/>
        <w:rPr>
          <w:rFonts w:hint="eastAsia" w:ascii="仿宋" w:hAnsi="仿宋" w:eastAsia="仿宋" w:cs="仿宋"/>
          <w:spacing w:val="13"/>
          <w:sz w:val="28"/>
          <w:szCs w:val="28"/>
        </w:rPr>
      </w:pPr>
      <w:r>
        <w:rPr>
          <w:rFonts w:hint="eastAsia" w:ascii="仿宋" w:hAnsi="仿宋" w:eastAsia="仿宋" w:cs="仿宋"/>
          <w:spacing w:val="13"/>
          <w:sz w:val="28"/>
          <w:szCs w:val="28"/>
        </w:rPr>
        <w:t>参加培训单位：</w:t>
      </w:r>
    </w:p>
    <w:p>
      <w:pPr>
        <w:ind w:firstLine="5202" w:firstLineChars="1700"/>
        <w:rPr>
          <w:rFonts w:hint="eastAsia" w:ascii="仿宋" w:hAnsi="仿宋" w:eastAsia="仿宋" w:cs="仿宋"/>
          <w:spacing w:val="13"/>
          <w:sz w:val="32"/>
          <w:szCs w:val="32"/>
          <w:lang w:eastAsia="zh-CN"/>
        </w:rPr>
      </w:pPr>
      <w:r>
        <w:rPr>
          <w:rFonts w:hint="eastAsia" w:ascii="仿宋" w:hAnsi="仿宋" w:eastAsia="仿宋" w:cs="仿宋"/>
          <w:spacing w:val="13"/>
          <w:sz w:val="28"/>
          <w:szCs w:val="28"/>
        </w:rPr>
        <w:t>（盖章</w:t>
      </w:r>
      <w:r>
        <w:rPr>
          <w:rFonts w:hint="eastAsia" w:ascii="仿宋" w:hAnsi="仿宋" w:eastAsia="仿宋" w:cs="仿宋"/>
          <w:spacing w:val="13"/>
          <w:sz w:val="28"/>
          <w:szCs w:val="28"/>
          <w:lang w:eastAsia="zh-CN"/>
        </w:rPr>
        <w:t>）</w:t>
      </w:r>
    </w:p>
    <w:sectPr>
      <w:footerReference r:id="rId3" w:type="default"/>
      <w:pgSz w:w="11900" w:h="16820"/>
      <w:pgMar w:top="1393" w:right="954" w:bottom="400" w:left="71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JjMGY3Mjk2ODhmODliMWU4NmYyZGI3ZDkzNDhiYTgifQ=="/>
  </w:docVars>
  <w:rsids>
    <w:rsidRoot w:val="00000000"/>
    <w:rsid w:val="07036EFC"/>
    <w:rsid w:val="0C97278C"/>
    <w:rsid w:val="121A5B4F"/>
    <w:rsid w:val="132D58BA"/>
    <w:rsid w:val="20EE3A0A"/>
    <w:rsid w:val="2AFE3DBF"/>
    <w:rsid w:val="3BB93928"/>
    <w:rsid w:val="424F676B"/>
    <w:rsid w:val="42F355A6"/>
    <w:rsid w:val="47021773"/>
    <w:rsid w:val="4FA3304A"/>
    <w:rsid w:val="53AF24DD"/>
    <w:rsid w:val="66841A1B"/>
    <w:rsid w:val="673E79E5"/>
    <w:rsid w:val="680A77AD"/>
    <w:rsid w:val="6F1B1799"/>
    <w:rsid w:val="715E790D"/>
    <w:rsid w:val="75354239"/>
    <w:rsid w:val="75635FD5"/>
    <w:rsid w:val="769D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paragraph" w:styleId="5">
    <w:name w:val="heading 4"/>
    <w:basedOn w:val="1"/>
    <w:next w:val="1"/>
    <w:qFormat/>
    <w:uiPriority w:val="1"/>
    <w:pPr>
      <w:spacing w:before="1"/>
      <w:ind w:left="712"/>
      <w:outlineLvl w:val="3"/>
    </w:pPr>
    <w:rPr>
      <w:rFonts w:ascii="宋体" w:hAnsi="宋体" w:eastAsia="宋体" w:cs="宋体"/>
      <w:b/>
      <w:bCs/>
      <w:sz w:val="30"/>
      <w:szCs w:val="30"/>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spacing w:before="4"/>
    </w:pPr>
    <w:rPr>
      <w:rFonts w:ascii="仿宋" w:hAnsi="仿宋" w:eastAsia="仿宋" w:cs="仿宋"/>
      <w:sz w:val="30"/>
      <w:szCs w:val="30"/>
      <w:lang w:val="zh-CN" w:bidi="zh-CN"/>
    </w:rPr>
  </w:style>
  <w:style w:type="paragraph" w:styleId="7">
    <w:name w:val="Balloon Text"/>
    <w:basedOn w:val="1"/>
    <w:link w:val="19"/>
    <w:qFormat/>
    <w:uiPriority w:val="0"/>
    <w:rPr>
      <w:sz w:val="18"/>
      <w:szCs w:val="18"/>
    </w:rPr>
  </w:style>
  <w:style w:type="paragraph" w:styleId="8">
    <w:name w:val="footer"/>
    <w:basedOn w:val="1"/>
    <w:link w:val="21"/>
    <w:qFormat/>
    <w:uiPriority w:val="0"/>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Subtitle"/>
    <w:basedOn w:val="1"/>
    <w:qFormat/>
    <w:uiPriority w:val="0"/>
    <w:rPr>
      <w:i/>
      <w:color w:val="4F81BD"/>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after="300"/>
    </w:pPr>
    <w:rPr>
      <w:color w:val="17365D"/>
      <w:sz w:val="5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lang w:val="zh-CN" w:bidi="zh-CN"/>
    </w:rPr>
  </w:style>
  <w:style w:type="character" w:customStyle="1" w:styleId="19">
    <w:name w:val="批注框文本 Char"/>
    <w:basedOn w:val="15"/>
    <w:link w:val="7"/>
    <w:qFormat/>
    <w:uiPriority w:val="0"/>
    <w:rPr>
      <w:rFonts w:eastAsia="Arial"/>
      <w:snapToGrid w:val="0"/>
      <w:color w:val="000000"/>
      <w:sz w:val="18"/>
      <w:szCs w:val="18"/>
    </w:rPr>
  </w:style>
  <w:style w:type="character" w:customStyle="1" w:styleId="20">
    <w:name w:val="页眉 Char"/>
    <w:basedOn w:val="15"/>
    <w:link w:val="9"/>
    <w:qFormat/>
    <w:uiPriority w:val="0"/>
    <w:rPr>
      <w:rFonts w:eastAsia="Arial"/>
      <w:snapToGrid w:val="0"/>
      <w:color w:val="000000"/>
      <w:sz w:val="18"/>
      <w:szCs w:val="18"/>
    </w:rPr>
  </w:style>
  <w:style w:type="character" w:customStyle="1" w:styleId="21">
    <w:name w:val="页脚 Char"/>
    <w:basedOn w:val="15"/>
    <w:link w:val="8"/>
    <w:qFormat/>
    <w:uiPriority w:val="0"/>
    <w:rPr>
      <w:rFonts w:eastAsia="Arial"/>
      <w:snapToGrid w:val="0"/>
      <w:color w:val="000000"/>
      <w:sz w:val="18"/>
      <w:szCs w:val="18"/>
    </w:rPr>
  </w:style>
  <w:style w:type="paragraph" w:styleId="22">
    <w:name w:val="List Paragraph"/>
    <w:basedOn w:val="1"/>
    <w:unhideWhenUsed/>
    <w:qFormat/>
    <w:uiPriority w:val="99"/>
    <w:pPr>
      <w:ind w:firstLine="420"/>
    </w:pPr>
  </w:style>
  <w:style w:type="paragraph" w:customStyle="1" w:styleId="2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851</Words>
  <Characters>946</Characters>
  <Lines>21</Lines>
  <Paragraphs>5</Paragraphs>
  <TotalTime>5</TotalTime>
  <ScaleCrop>false</ScaleCrop>
  <LinksUpToDate>false</LinksUpToDate>
  <CharactersWithSpaces>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2022-05-11T08:49:00Z</dcterms:created>
  <dc:creator>Kingsoft-PDF</dc:creator>
  <cp:keywords>627b080d2c4f120015389d84</cp:keywords>
  <cp:lastModifiedBy>-_-</cp:lastModifiedBy>
  <dcterms:modified xsi:type="dcterms:W3CDTF">2023-03-30T04:08:33Z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2022-05-11T08:49:37Z</vt:filetime>
  </property>
  <property fmtid="{D5CDD505-2E9C-101B-9397-08002B2CF9AE}" pid="4" name="KSOProductBuildVer">
    <vt:lpwstr>2052-11.1.0.13703</vt:lpwstr>
  </property>
  <property fmtid="{D5CDD505-2E9C-101B-9397-08002B2CF9AE}" pid="5" name="ICV">
    <vt:lpwstr>956D1B25B2F842B2A7DB2985EB50FE08</vt:lpwstr>
  </property>
</Properties>
</file>